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2"/>
        <w:gridCol w:w="5919"/>
      </w:tblGrid>
      <w:tr w:rsidR="00E719B5" w:rsidRPr="00E719B5" w14:paraId="1612FC44" w14:textId="77777777" w:rsidTr="00E719B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45EEB02" w14:textId="77777777" w:rsidR="00E719B5" w:rsidRPr="00E719B5" w:rsidRDefault="00E719B5" w:rsidP="00E719B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val="bg-BG" w:eastAsia="bg-BG"/>
              </w:rPr>
            </w:pPr>
            <w:r w:rsidRPr="00E719B5">
              <w:rPr>
                <w:rFonts w:ascii="Tahoma" w:eastAsia="Times New Roman" w:hAnsi="Tahoma" w:cs="Tahoma"/>
                <w:noProof/>
                <w:color w:val="0065A2"/>
                <w:sz w:val="15"/>
                <w:szCs w:val="15"/>
                <w:bdr w:val="none" w:sz="0" w:space="0" w:color="auto" w:frame="1"/>
                <w:lang w:val="bg-BG" w:eastAsia="bg-BG"/>
              </w:rPr>
              <w:drawing>
                <wp:inline distT="0" distB="0" distL="0" distR="0" wp14:anchorId="03176710" wp14:editId="5FBAD0E7">
                  <wp:extent cx="655320" cy="556260"/>
                  <wp:effectExtent l="0" t="0" r="0" b="0"/>
                  <wp:docPr id="2" name="Картина 1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hideMark/>
          </w:tcPr>
          <w:p w14:paraId="686A76CD" w14:textId="77777777" w:rsidR="00E719B5" w:rsidRPr="00E719B5" w:rsidRDefault="00E719B5" w:rsidP="00E719B5">
            <w:pPr>
              <w:spacing w:after="0" w:line="264" w:lineRule="atLeast"/>
              <w:textAlignment w:val="baseline"/>
              <w:outlineLvl w:val="1"/>
              <w:rPr>
                <w:rFonts w:ascii="Times New Roman" w:eastAsia="Times New Roman" w:hAnsi="Times New Roman" w:cs="Times New Roman"/>
                <w:color w:val="074A8B"/>
                <w:sz w:val="27"/>
                <w:szCs w:val="27"/>
                <w:lang w:val="bg-BG" w:eastAsia="bg-BG"/>
              </w:rPr>
            </w:pPr>
            <w:r w:rsidRPr="00E719B5">
              <w:rPr>
                <w:rFonts w:ascii="Times New Roman" w:eastAsia="Times New Roman" w:hAnsi="Times New Roman" w:cs="Times New Roman"/>
                <w:color w:val="074A8B"/>
                <w:sz w:val="27"/>
                <w:szCs w:val="27"/>
                <w:lang w:val="bg-BG" w:eastAsia="bg-BG"/>
              </w:rPr>
              <w:t>Проект BG05SFPR001-1.003-0001 „Силен старт“</w:t>
            </w:r>
          </w:p>
          <w:p w14:paraId="575C96D3" w14:textId="77777777" w:rsidR="00E719B5" w:rsidRPr="00E719B5" w:rsidRDefault="00E719B5" w:rsidP="00E719B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val="bg-BG" w:eastAsia="bg-BG"/>
              </w:rPr>
            </w:pPr>
            <w:r w:rsidRPr="00E719B5">
              <w:rPr>
                <w:rFonts w:ascii="Tahoma" w:eastAsia="Times New Roman" w:hAnsi="Tahoma" w:cs="Tahoma"/>
                <w:color w:val="000000"/>
                <w:sz w:val="15"/>
                <w:szCs w:val="15"/>
                <w:lang w:val="bg-BG" w:eastAsia="bg-BG"/>
              </w:rPr>
              <w:t> </w:t>
            </w:r>
          </w:p>
        </w:tc>
      </w:tr>
    </w:tbl>
    <w:p w14:paraId="7164677C" w14:textId="42FC2F99" w:rsidR="00E719B5" w:rsidRPr="00E719B5" w:rsidRDefault="00E719B5" w:rsidP="00E719B5">
      <w:pPr>
        <w:shd w:val="clear" w:color="auto" w:fill="FFFFFF"/>
        <w:spacing w:before="225"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bg-BG"/>
        </w:rPr>
      </w:pPr>
    </w:p>
    <w:p w14:paraId="33E2F563" w14:textId="77777777" w:rsidR="00E719B5" w:rsidRPr="00E719B5" w:rsidRDefault="00E719B5" w:rsidP="00E719B5">
      <w:pPr>
        <w:shd w:val="clear" w:color="auto" w:fill="FFFFFF"/>
        <w:spacing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b/>
          <w:bCs/>
          <w:color w:val="000000"/>
          <w:sz w:val="20"/>
          <w:szCs w:val="20"/>
          <w:bdr w:val="none" w:sz="0" w:space="0" w:color="auto" w:frame="1"/>
          <w:lang w:val="bg-BG" w:eastAsia="bg-BG"/>
        </w:rPr>
        <w:t>Процедура</w:t>
      </w:r>
      <w:r w:rsidRPr="00E719B5"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  <w:t>: BG05SFPR001-1.003 „Обща и допълнителна подкрепа за личностно развитие в предучилищното образование“</w:t>
      </w:r>
    </w:p>
    <w:p w14:paraId="24EC9BD3" w14:textId="77777777" w:rsidR="00E719B5" w:rsidRPr="00E719B5" w:rsidRDefault="00E719B5" w:rsidP="00E719B5">
      <w:pPr>
        <w:shd w:val="clear" w:color="auto" w:fill="FFFFFF"/>
        <w:spacing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b/>
          <w:bCs/>
          <w:color w:val="000000"/>
          <w:sz w:val="20"/>
          <w:szCs w:val="20"/>
          <w:bdr w:val="none" w:sz="0" w:space="0" w:color="auto" w:frame="1"/>
          <w:lang w:val="bg-BG" w:eastAsia="bg-BG"/>
        </w:rPr>
        <w:t>Конкретен бенефициент (КБ):</w:t>
      </w:r>
      <w:r w:rsidRPr="00E719B5"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  <w:t> Министерство на образованието и науката (МОН)</w:t>
      </w:r>
    </w:p>
    <w:p w14:paraId="2422C4B9" w14:textId="77777777" w:rsidR="00E719B5" w:rsidRPr="00E719B5" w:rsidRDefault="00E719B5" w:rsidP="00E719B5">
      <w:pPr>
        <w:shd w:val="clear" w:color="auto" w:fill="FFFFFF"/>
        <w:spacing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b/>
          <w:bCs/>
          <w:color w:val="000000"/>
          <w:sz w:val="20"/>
          <w:szCs w:val="20"/>
          <w:bdr w:val="none" w:sz="0" w:space="0" w:color="auto" w:frame="1"/>
          <w:lang w:val="bg-BG" w:eastAsia="bg-BG"/>
        </w:rPr>
        <w:t>Срок на изпълнение на проекта: </w:t>
      </w:r>
      <w:r w:rsidRPr="00E719B5"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  <w:t>15.02.2024 г. – 15.02.2029 г.</w:t>
      </w:r>
    </w:p>
    <w:p w14:paraId="64E1A33A" w14:textId="77777777" w:rsidR="00E719B5" w:rsidRPr="00E719B5" w:rsidRDefault="00E719B5" w:rsidP="00E719B5">
      <w:pPr>
        <w:shd w:val="clear" w:color="auto" w:fill="FFFFFF"/>
        <w:spacing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b/>
          <w:bCs/>
          <w:color w:val="000000"/>
          <w:sz w:val="20"/>
          <w:szCs w:val="20"/>
          <w:bdr w:val="none" w:sz="0" w:space="0" w:color="auto" w:frame="1"/>
          <w:lang w:val="bg-BG" w:eastAsia="bg-BG"/>
        </w:rPr>
        <w:t>Общ бюджет на проекта: </w:t>
      </w:r>
      <w:r w:rsidRPr="00E719B5"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  <w:t>105 400 000,00 лв. (86 966 657,68 лв. - средства от Европейския социален фонд плюс (ЕСФ+) и 18 433 342,32 лв. - национално съфинансиране), от които 17 488 948,73 лв. за Регион в преход (Югозападен район) и 87 911 051,27 лв. за По-слабо развити региони (Северозападен район, Северен централен район, Североизточен район, Югоизточен район, Южен централен район).</w:t>
      </w:r>
    </w:p>
    <w:p w14:paraId="3F3FE6D9" w14:textId="77777777" w:rsidR="00E719B5" w:rsidRPr="00E719B5" w:rsidRDefault="00E719B5" w:rsidP="00E719B5">
      <w:pPr>
        <w:shd w:val="clear" w:color="auto" w:fill="FFFFFF"/>
        <w:spacing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b/>
          <w:bCs/>
          <w:color w:val="000000"/>
          <w:sz w:val="20"/>
          <w:szCs w:val="20"/>
          <w:bdr w:val="none" w:sz="0" w:space="0" w:color="auto" w:frame="1"/>
          <w:lang w:val="bg-BG" w:eastAsia="bg-BG"/>
        </w:rPr>
        <w:t>Описание/цели на проекта: </w:t>
      </w:r>
      <w:r w:rsidRPr="00E719B5"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  <w:t>Проектът ще се изпълнява в рамките на операция от стратегическо значение и предвижда да разгърне потенциала на децата от предучилищното образование чрез подкрепа за личното им развитие с оглед по-успешна социална реализация.</w:t>
      </w:r>
    </w:p>
    <w:p w14:paraId="1187F990" w14:textId="77777777" w:rsidR="00E719B5" w:rsidRPr="00E719B5" w:rsidRDefault="00E719B5" w:rsidP="00E719B5">
      <w:pPr>
        <w:shd w:val="clear" w:color="auto" w:fill="FFFFFF"/>
        <w:spacing w:before="225"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  <w:t>Проектът предвижда провеждане на обучения за педагогически и непедагогически специалисти, което ще допринесе в значителна степен за подобряване на процесите на взаимодействие с децата, ще подкрепи изграждането на приобщаваща среда и ще повиши ефективността на екипната работа. Чрез различни инициативи и мероприятия (вкл. обучения) ще се работи интензивно с родители от уязвимите групи, което ще оказва влияние от една страна на плавната адаптация на детето към новата среда, а от друга страна изгражда положително отношение в общността към ползите от образованието и грижите в ранна детска възраст (ОГРДВ) и от образованието като цяло. По проекта ще се предоставя допълнителна подкрепа за личностно развитие на деца със СОП, в риск, с хронични заболявания и изявени дарби. На фокус ще бъде също и достъпът и трайното предоставяне на обща подкрепа за личностно развитие под формата на обучения, занимания по интереси и др.</w:t>
      </w:r>
    </w:p>
    <w:p w14:paraId="287DBDEA" w14:textId="77777777" w:rsidR="00E719B5" w:rsidRPr="00E719B5" w:rsidRDefault="00E719B5" w:rsidP="00E719B5">
      <w:pPr>
        <w:shd w:val="clear" w:color="auto" w:fill="FFFFFF"/>
        <w:spacing w:before="225"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  <w:t>Дейностите ще надградят и мерките по прилагане на Европейската гаранция за детето, както и прилагането на Национална рамка за качество на образованието и грижите в ранна детска възраст.</w:t>
      </w:r>
    </w:p>
    <w:p w14:paraId="7AEB811D" w14:textId="77777777" w:rsidR="00E719B5" w:rsidRPr="00E719B5" w:rsidRDefault="00E719B5" w:rsidP="00E719B5">
      <w:pPr>
        <w:shd w:val="clear" w:color="auto" w:fill="FFFFFF"/>
        <w:spacing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b/>
          <w:bCs/>
          <w:color w:val="000000"/>
          <w:sz w:val="20"/>
          <w:szCs w:val="20"/>
          <w:bdr w:val="none" w:sz="0" w:space="0" w:color="auto" w:frame="1"/>
          <w:lang w:val="bg-BG" w:eastAsia="bg-BG"/>
        </w:rPr>
        <w:t>Дейности по проекта:</w:t>
      </w:r>
    </w:p>
    <w:p w14:paraId="37C51DD6" w14:textId="77777777" w:rsidR="00E719B5" w:rsidRPr="00E719B5" w:rsidRDefault="00E719B5" w:rsidP="00E719B5">
      <w:pPr>
        <w:numPr>
          <w:ilvl w:val="0"/>
          <w:numId w:val="21"/>
        </w:numPr>
        <w:shd w:val="clear" w:color="auto" w:fill="FFFFFF"/>
        <w:spacing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Дейност № 1 „Повишаване квалификацията на педагогическите специалисти, вкл. нови в системата учители, и на експерти от РУО за осъществяване на обща и допълнителна подкрепа за личностно развитие, вкл. социално-емоционалното учене в детските градини, в т.ч. техни яслени групи, и училища с групи за задължително предучилищно образование както и обучения на непедагогическия персонал, вкл. образователни медиатори и социални работници за подпомагане на обучението, в съответствие с утвърдени програми за професионалното и кариерното им развитие.“</w:t>
      </w:r>
    </w:p>
    <w:p w14:paraId="20166E97" w14:textId="77777777" w:rsidR="00E719B5" w:rsidRPr="00E719B5" w:rsidRDefault="00E719B5" w:rsidP="00E719B5">
      <w:pPr>
        <w:numPr>
          <w:ilvl w:val="0"/>
          <w:numId w:val="21"/>
        </w:numPr>
        <w:shd w:val="clear" w:color="auto" w:fill="FFFFFF"/>
        <w:spacing w:before="150"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lastRenderedPageBreak/>
        <w:t>Дейност № 2 „Интензивна работа с родители на ниво детска градина, в т.ч. техни яслени групи, и на ниво училище с групи за задължително предучилищно образование за формиране на положителни нагласи към образованието и за пълноценното им участие в образователния процес.“</w:t>
      </w:r>
    </w:p>
    <w:p w14:paraId="179D5426" w14:textId="77777777" w:rsidR="00E719B5" w:rsidRPr="00E719B5" w:rsidRDefault="00E719B5" w:rsidP="00E719B5">
      <w:pPr>
        <w:numPr>
          <w:ilvl w:val="0"/>
          <w:numId w:val="21"/>
        </w:numPr>
        <w:shd w:val="clear" w:color="auto" w:fill="FFFFFF"/>
        <w:spacing w:before="150"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Дейност № 3 „Допълнителна подкрепа за личностно развитие на деца със специални образователни потребности, в риск, с хронични заболявания и изявени дарби за трайно приобщаване в предучилищното образование.“</w:t>
      </w:r>
    </w:p>
    <w:p w14:paraId="09B1FF9D" w14:textId="77777777" w:rsidR="00E719B5" w:rsidRPr="00E719B5" w:rsidRDefault="00E719B5" w:rsidP="00E719B5">
      <w:pPr>
        <w:numPr>
          <w:ilvl w:val="0"/>
          <w:numId w:val="21"/>
        </w:numPr>
        <w:shd w:val="clear" w:color="auto" w:fill="FFFFFF"/>
        <w:spacing w:before="150"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Дейност № 4 „Обща подкрепа за личностно развитие за достъп и трайно приобщаване на деца в предучилищното образование.“</w:t>
      </w:r>
    </w:p>
    <w:p w14:paraId="0CA7DA4B" w14:textId="77777777" w:rsidR="00E719B5" w:rsidRPr="00E719B5" w:rsidRDefault="00E719B5" w:rsidP="00E719B5">
      <w:pPr>
        <w:shd w:val="clear" w:color="auto" w:fill="FFFFFF"/>
        <w:spacing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b/>
          <w:bCs/>
          <w:color w:val="000000"/>
          <w:sz w:val="20"/>
          <w:szCs w:val="20"/>
          <w:bdr w:val="none" w:sz="0" w:space="0" w:color="auto" w:frame="1"/>
          <w:lang w:val="bg-BG" w:eastAsia="bg-BG"/>
        </w:rPr>
        <w:t>Индикатори за изпълнение:</w:t>
      </w:r>
    </w:p>
    <w:p w14:paraId="1E6E21D3" w14:textId="77777777" w:rsidR="00E719B5" w:rsidRPr="00E719B5" w:rsidRDefault="00E719B5" w:rsidP="00E719B5">
      <w:pPr>
        <w:numPr>
          <w:ilvl w:val="0"/>
          <w:numId w:val="22"/>
        </w:numPr>
        <w:shd w:val="clear" w:color="auto" w:fill="FFFFFF"/>
        <w:spacing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Брой на децата на възраст под 18 години - 37 283, от които 6 214 в Регион в преход (ЮЗР) и 31 069 в По-слабо развитите региони;</w:t>
      </w:r>
    </w:p>
    <w:p w14:paraId="0214666F" w14:textId="77777777" w:rsidR="00E719B5" w:rsidRPr="00E719B5" w:rsidRDefault="00E719B5" w:rsidP="00E719B5">
      <w:pPr>
        <w:shd w:val="clear" w:color="auto" w:fill="FFFFFF"/>
        <w:spacing w:before="225" w:after="0" w:line="336" w:lineRule="atLeast"/>
        <w:ind w:left="426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  <w:t>От тях:</w:t>
      </w:r>
    </w:p>
    <w:p w14:paraId="63AA6E70" w14:textId="77777777" w:rsidR="00E719B5" w:rsidRPr="00E719B5" w:rsidRDefault="00E719B5" w:rsidP="00E719B5">
      <w:pPr>
        <w:numPr>
          <w:ilvl w:val="0"/>
          <w:numId w:val="23"/>
        </w:numPr>
        <w:shd w:val="clear" w:color="auto" w:fill="FFFFFF"/>
        <w:spacing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Брой </w:t>
      </w:r>
      <w:r w:rsidRPr="00E719B5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bdr w:val="none" w:sz="0" w:space="0" w:color="auto" w:frame="1"/>
          <w:lang w:val="bg-BG" w:eastAsia="bg-BG"/>
        </w:rPr>
        <w:t>деца</w:t>
      </w: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 и ученици в предучилищното и училищното образование със специални образователни потребности (СОП), в риск, с хронични заболявания и с изявени дарби, получили допълнителна подкрепа за личностно - 4 549, от които 758 в Регион в преход (ЮЗР) и 3 791 в По-слабо развитите региони;</w:t>
      </w:r>
    </w:p>
    <w:p w14:paraId="1C5BAEC9" w14:textId="77777777" w:rsidR="00E719B5" w:rsidRPr="00E719B5" w:rsidRDefault="00E719B5" w:rsidP="00E719B5">
      <w:pPr>
        <w:numPr>
          <w:ilvl w:val="0"/>
          <w:numId w:val="24"/>
        </w:numPr>
        <w:shd w:val="clear" w:color="auto" w:fill="FFFFFF"/>
        <w:spacing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Брой </w:t>
      </w:r>
      <w:r w:rsidRPr="00E719B5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bdr w:val="none" w:sz="0" w:space="0" w:color="auto" w:frame="1"/>
          <w:lang w:val="bg-BG" w:eastAsia="bg-BG"/>
        </w:rPr>
        <w:t>деца</w:t>
      </w: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 и ученици от предучилищното и училищното образование от уязвими групи, получили подкрепа - 32 734, от които 5 456 в Регион в преход (ЮЗР) и 27 278 в По-слабо развитите региони;</w:t>
      </w:r>
    </w:p>
    <w:p w14:paraId="044D1550" w14:textId="77777777" w:rsidR="00E719B5" w:rsidRPr="00E719B5" w:rsidRDefault="00E719B5" w:rsidP="00E719B5">
      <w:pPr>
        <w:numPr>
          <w:ilvl w:val="0"/>
          <w:numId w:val="25"/>
        </w:numPr>
        <w:shd w:val="clear" w:color="auto" w:fill="FFFFFF"/>
        <w:spacing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Брой родители, подкрепени в процеса на приобщаващото образование - 37 283, от които 6 214 в Регион в преход (ЮЗР) и 31 069 в По-слабо развитите региони;</w:t>
      </w:r>
    </w:p>
    <w:p w14:paraId="1C374BB2" w14:textId="77777777" w:rsidR="00E719B5" w:rsidRPr="00E719B5" w:rsidRDefault="00E719B5" w:rsidP="00E719B5">
      <w:pPr>
        <w:numPr>
          <w:ilvl w:val="0"/>
          <w:numId w:val="26"/>
        </w:numPr>
        <w:shd w:val="clear" w:color="auto" w:fill="FFFFFF"/>
        <w:spacing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Педагогически специалисти и непедагогически персонал, обучени за работа с деца и ученици от уязвими групи заети, вкл. самостоятелно заети с целева стойност до крайния срок за изпълнение на процедурата - 3 577, от които 596 в Регион в преход (ЮЗР) и 2 981 в По-слабо развитите региони;</w:t>
      </w:r>
    </w:p>
    <w:p w14:paraId="105FB6E5" w14:textId="77777777" w:rsidR="00E719B5" w:rsidRPr="00E719B5" w:rsidRDefault="00E719B5" w:rsidP="00E719B5">
      <w:pPr>
        <w:numPr>
          <w:ilvl w:val="0"/>
          <w:numId w:val="26"/>
        </w:numPr>
        <w:shd w:val="clear" w:color="auto" w:fill="FFFFFF"/>
        <w:spacing w:before="150"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Малцинства (включително маргинализирани общности като ромите) – с целева стойност до крайния срок за изпълнение на процедурата - 18 641, от които 3 107 в Регион в преход (ЮЗР) и 15 534 в По-слабо развитите региони.</w:t>
      </w:r>
    </w:p>
    <w:p w14:paraId="42F830C1" w14:textId="77777777" w:rsidR="00E719B5" w:rsidRPr="00E719B5" w:rsidRDefault="00E719B5" w:rsidP="00E719B5">
      <w:pPr>
        <w:shd w:val="clear" w:color="auto" w:fill="FFFFFF"/>
        <w:spacing w:after="0" w:line="336" w:lineRule="atLeast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val="bg-BG" w:eastAsia="bg-BG"/>
        </w:rPr>
      </w:pPr>
      <w:r w:rsidRPr="00E719B5">
        <w:rPr>
          <w:rFonts w:ascii="Tahoma" w:eastAsia="Times New Roman" w:hAnsi="Tahoma" w:cs="Tahoma"/>
          <w:b/>
          <w:bCs/>
          <w:color w:val="000000"/>
          <w:sz w:val="20"/>
          <w:szCs w:val="20"/>
          <w:bdr w:val="none" w:sz="0" w:space="0" w:color="auto" w:frame="1"/>
          <w:lang w:val="bg-BG" w:eastAsia="bg-BG"/>
        </w:rPr>
        <w:t>Индикатори за резултат:</w:t>
      </w:r>
    </w:p>
    <w:p w14:paraId="4673337B" w14:textId="77777777" w:rsidR="00E719B5" w:rsidRPr="00E719B5" w:rsidRDefault="00E719B5" w:rsidP="00E719B5">
      <w:pPr>
        <w:numPr>
          <w:ilvl w:val="0"/>
          <w:numId w:val="27"/>
        </w:numPr>
        <w:shd w:val="clear" w:color="auto" w:fill="FFFFFF"/>
        <w:spacing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Брой </w:t>
      </w:r>
      <w:r w:rsidRPr="00E719B5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val="bg-BG" w:eastAsia="bg-BG"/>
        </w:rPr>
        <w:t>деца</w:t>
      </w: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 и ученици от уязвими групи с подобрени образователни резултати 1 година след участие в операцията – 33 554, от които 5 592 в Регион в преход (ЮЗР) и 27 962 в По-слабо развитите региони.</w:t>
      </w:r>
    </w:p>
    <w:p w14:paraId="4C8AC794" w14:textId="77777777" w:rsidR="00E719B5" w:rsidRPr="00E719B5" w:rsidRDefault="00E719B5" w:rsidP="00E719B5">
      <w:pPr>
        <w:numPr>
          <w:ilvl w:val="0"/>
          <w:numId w:val="28"/>
        </w:numPr>
        <w:shd w:val="clear" w:color="auto" w:fill="FFFFFF"/>
        <w:spacing w:after="0" w:line="336" w:lineRule="atLeast"/>
        <w:ind w:left="945"/>
        <w:jc w:val="both"/>
        <w:textAlignment w:val="baseline"/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</w:pPr>
      <w:r w:rsidRPr="00E719B5">
        <w:rPr>
          <w:rFonts w:ascii="Tahoma" w:eastAsia="Times New Roman" w:hAnsi="Tahoma" w:cs="Tahoma"/>
          <w:color w:val="000000"/>
          <w:sz w:val="18"/>
          <w:szCs w:val="18"/>
          <w:lang w:val="bg-BG" w:eastAsia="bg-BG"/>
        </w:rPr>
        <w:t>Участници, които при напускане на операцията получават квалификация  – 3 227, от които 538 в Регион в преход (ЮЗР) и 2 689 в По-слабо развитите региони.</w:t>
      </w:r>
    </w:p>
    <w:p w14:paraId="1702B0C7" w14:textId="3C209347" w:rsidR="00D47182" w:rsidRPr="007D1988" w:rsidRDefault="00D47182" w:rsidP="007D1988"/>
    <w:sectPr w:rsidR="00D47182" w:rsidRPr="007D19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26C9E"/>
    <w:multiLevelType w:val="multilevel"/>
    <w:tmpl w:val="73C0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AF0E38"/>
    <w:multiLevelType w:val="hybridMultilevel"/>
    <w:tmpl w:val="608EB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976A7"/>
    <w:multiLevelType w:val="multilevel"/>
    <w:tmpl w:val="4C5A90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407969"/>
    <w:multiLevelType w:val="multilevel"/>
    <w:tmpl w:val="FEC0A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E66286"/>
    <w:multiLevelType w:val="multilevel"/>
    <w:tmpl w:val="E7B8F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7D5CEE"/>
    <w:multiLevelType w:val="multilevel"/>
    <w:tmpl w:val="E528D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FB0AF4"/>
    <w:multiLevelType w:val="multilevel"/>
    <w:tmpl w:val="A8FC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CA71BB"/>
    <w:multiLevelType w:val="multilevel"/>
    <w:tmpl w:val="A24EFB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AE40A5C"/>
    <w:multiLevelType w:val="multilevel"/>
    <w:tmpl w:val="282A5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DF4BAB"/>
    <w:multiLevelType w:val="multilevel"/>
    <w:tmpl w:val="25FC8B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4F221865"/>
    <w:multiLevelType w:val="hybridMultilevel"/>
    <w:tmpl w:val="76622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062F18"/>
    <w:multiLevelType w:val="multilevel"/>
    <w:tmpl w:val="C52EF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520A7E"/>
    <w:multiLevelType w:val="hybridMultilevel"/>
    <w:tmpl w:val="0F50B1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1763C"/>
    <w:multiLevelType w:val="multilevel"/>
    <w:tmpl w:val="6DDE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C451C0F"/>
    <w:multiLevelType w:val="hybridMultilevel"/>
    <w:tmpl w:val="608EB5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6197A"/>
    <w:multiLevelType w:val="multilevel"/>
    <w:tmpl w:val="211A3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286A19"/>
    <w:multiLevelType w:val="multilevel"/>
    <w:tmpl w:val="3020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8636D8"/>
    <w:multiLevelType w:val="multilevel"/>
    <w:tmpl w:val="869A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65361E"/>
    <w:multiLevelType w:val="multilevel"/>
    <w:tmpl w:val="B23091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62E831B2"/>
    <w:multiLevelType w:val="multilevel"/>
    <w:tmpl w:val="4C6633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68CF1541"/>
    <w:multiLevelType w:val="multilevel"/>
    <w:tmpl w:val="49DA94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467785"/>
    <w:multiLevelType w:val="multilevel"/>
    <w:tmpl w:val="FB2EB9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6B503990"/>
    <w:multiLevelType w:val="multilevel"/>
    <w:tmpl w:val="F58A7A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F5551DD"/>
    <w:multiLevelType w:val="multilevel"/>
    <w:tmpl w:val="BFB0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4C601D"/>
    <w:multiLevelType w:val="hybridMultilevel"/>
    <w:tmpl w:val="E93EB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36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00ABB"/>
    <w:multiLevelType w:val="hybridMultilevel"/>
    <w:tmpl w:val="E948F8F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96901"/>
    <w:multiLevelType w:val="multilevel"/>
    <w:tmpl w:val="26CCA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2162906">
    <w:abstractNumId w:val="26"/>
  </w:num>
  <w:num w:numId="2" w16cid:durableId="1611820984">
    <w:abstractNumId w:val="4"/>
  </w:num>
  <w:num w:numId="3" w16cid:durableId="1644308788">
    <w:abstractNumId w:val="23"/>
  </w:num>
  <w:num w:numId="4" w16cid:durableId="1923178622">
    <w:abstractNumId w:val="20"/>
  </w:num>
  <w:num w:numId="5" w16cid:durableId="1265771575">
    <w:abstractNumId w:val="2"/>
  </w:num>
  <w:num w:numId="6" w16cid:durableId="9934118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5468519">
    <w:abstractNumId w:val="10"/>
  </w:num>
  <w:num w:numId="8" w16cid:durableId="1129127613">
    <w:abstractNumId w:val="1"/>
  </w:num>
  <w:num w:numId="9" w16cid:durableId="696389777">
    <w:abstractNumId w:val="14"/>
  </w:num>
  <w:num w:numId="10" w16cid:durableId="1937060045">
    <w:abstractNumId w:val="24"/>
  </w:num>
  <w:num w:numId="11" w16cid:durableId="1193034722">
    <w:abstractNumId w:val="12"/>
  </w:num>
  <w:num w:numId="12" w16cid:durableId="706300562">
    <w:abstractNumId w:val="25"/>
  </w:num>
  <w:num w:numId="13" w16cid:durableId="1297687039">
    <w:abstractNumId w:val="0"/>
  </w:num>
  <w:num w:numId="14" w16cid:durableId="632297982">
    <w:abstractNumId w:val="15"/>
  </w:num>
  <w:num w:numId="15" w16cid:durableId="514350057">
    <w:abstractNumId w:val="3"/>
  </w:num>
  <w:num w:numId="16" w16cid:durableId="87240285">
    <w:abstractNumId w:val="16"/>
  </w:num>
  <w:num w:numId="17" w16cid:durableId="549154378">
    <w:abstractNumId w:val="6"/>
  </w:num>
  <w:num w:numId="18" w16cid:durableId="709459599">
    <w:abstractNumId w:val="17"/>
  </w:num>
  <w:num w:numId="19" w16cid:durableId="1179391551">
    <w:abstractNumId w:val="5"/>
  </w:num>
  <w:num w:numId="20" w16cid:durableId="1862624452">
    <w:abstractNumId w:val="13"/>
  </w:num>
  <w:num w:numId="21" w16cid:durableId="587009754">
    <w:abstractNumId w:val="18"/>
  </w:num>
  <w:num w:numId="22" w16cid:durableId="1314213761">
    <w:abstractNumId w:val="22"/>
  </w:num>
  <w:num w:numId="23" w16cid:durableId="1038353642">
    <w:abstractNumId w:val="11"/>
  </w:num>
  <w:num w:numId="24" w16cid:durableId="1540048476">
    <w:abstractNumId w:val="8"/>
  </w:num>
  <w:num w:numId="25" w16cid:durableId="388118667">
    <w:abstractNumId w:val="21"/>
  </w:num>
  <w:num w:numId="26" w16cid:durableId="1249120511">
    <w:abstractNumId w:val="19"/>
  </w:num>
  <w:num w:numId="27" w16cid:durableId="1053575127">
    <w:abstractNumId w:val="7"/>
  </w:num>
  <w:num w:numId="28" w16cid:durableId="6941153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71"/>
    <w:rsid w:val="00201C3B"/>
    <w:rsid w:val="00206C5B"/>
    <w:rsid w:val="00210FEA"/>
    <w:rsid w:val="00285480"/>
    <w:rsid w:val="00287EBC"/>
    <w:rsid w:val="0031712B"/>
    <w:rsid w:val="00441771"/>
    <w:rsid w:val="00491A87"/>
    <w:rsid w:val="00557145"/>
    <w:rsid w:val="00596816"/>
    <w:rsid w:val="005E067B"/>
    <w:rsid w:val="005E60E7"/>
    <w:rsid w:val="006C71E5"/>
    <w:rsid w:val="007639EC"/>
    <w:rsid w:val="007D1988"/>
    <w:rsid w:val="007D6941"/>
    <w:rsid w:val="009E580C"/>
    <w:rsid w:val="00A37A97"/>
    <w:rsid w:val="00D4084C"/>
    <w:rsid w:val="00D47182"/>
    <w:rsid w:val="00DA2582"/>
    <w:rsid w:val="00DA6F29"/>
    <w:rsid w:val="00E4042E"/>
    <w:rsid w:val="00E7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5A939"/>
  <w15:chartTrackingRefBased/>
  <w15:docId w15:val="{E8AA0770-6410-4C62-8D0F-2C2934C7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A97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6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9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62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09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58237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842795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55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97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284157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983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358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85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333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69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15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809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965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73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58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09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562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500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556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9944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24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909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305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23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222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8259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377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33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117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63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763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035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092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8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912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7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060724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20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595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49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243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79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206769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99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70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57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07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47896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491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23" w:color="ECECEC"/>
                    <w:bottom w:val="none" w:sz="0" w:space="0" w:color="auto"/>
                    <w:right w:val="none" w:sz="0" w:space="0" w:color="auto"/>
                  </w:divBdr>
                  <w:divsChild>
                    <w:div w:id="86352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23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582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46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111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22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971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88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358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03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995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51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809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4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03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49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38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91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11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9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520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12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73458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86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2944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52276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687811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05251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6811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57881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910681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953555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96057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85712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20518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8035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0258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56395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0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1765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9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4102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12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78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7" w:color="auto"/>
                                    <w:left w:val="single" w:sz="12" w:space="10" w:color="auto"/>
                                    <w:bottom w:val="single" w:sz="12" w:space="7" w:color="auto"/>
                                    <w:right w:val="single" w:sz="12" w:space="1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79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286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87658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70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14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7" w:color="auto"/>
                                    <w:left w:val="single" w:sz="12" w:space="10" w:color="auto"/>
                                    <w:bottom w:val="single" w:sz="12" w:space="7" w:color="auto"/>
                                    <w:right w:val="single" w:sz="12" w:space="1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480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134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873234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8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97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7" w:color="auto"/>
                                    <w:left w:val="single" w:sz="12" w:space="10" w:color="auto"/>
                                    <w:bottom w:val="single" w:sz="12" w:space="7" w:color="auto"/>
                                    <w:right w:val="single" w:sz="12" w:space="1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758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971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334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29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27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7" w:color="auto"/>
                                    <w:left w:val="single" w:sz="12" w:space="10" w:color="auto"/>
                                    <w:bottom w:val="single" w:sz="12" w:space="7" w:color="auto"/>
                                    <w:right w:val="single" w:sz="12" w:space="1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092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891129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0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0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sf.mon.bg/?go=page&amp;pageId=5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2024-08-12T08:51:00Z</dcterms:created>
  <dcterms:modified xsi:type="dcterms:W3CDTF">2024-08-12T08:51:00Z</dcterms:modified>
</cp:coreProperties>
</file>